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41E6" w14:textId="77777777" w:rsidR="00113C5A" w:rsidRDefault="00113C5A" w:rsidP="00AC35C4">
      <w:pPr>
        <w:pStyle w:val="F2-zkladn"/>
        <w:rPr>
          <w:b/>
          <w:sz w:val="28"/>
          <w:szCs w:val="28"/>
        </w:rPr>
      </w:pPr>
    </w:p>
    <w:p w14:paraId="5B69C807" w14:textId="77777777"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14:paraId="042BAC95" w14:textId="77777777" w:rsidR="000A2833" w:rsidRPr="009C3DB4" w:rsidRDefault="000A2833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</w:r>
      <w:r w:rsidRPr="009C3DB4">
        <w:pict w14:anchorId="6BE80ED6">
          <v:rect id="AutoShape 2" o:spid="_x0000_s1026" alt="Fidelity International" href="https://www.fidelity.cz/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7088g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5708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<v:fill o:detectmouseclick="t"/>
            <o:lock v:ext="edit" aspectratio="t"/>
            <w10:anchorlock/>
          </v:rect>
        </w:pict>
      </w:r>
    </w:p>
    <w:p w14:paraId="1A888328" w14:textId="53EB4ADB" w:rsidR="000A2833" w:rsidRPr="00B362ED" w:rsidRDefault="000A2833" w:rsidP="00AC35C4">
      <w:pPr>
        <w:pStyle w:val="F2-zkladn"/>
        <w:tabs>
          <w:tab w:val="right" w:pos="9070"/>
        </w:tabs>
      </w:pPr>
      <w:r w:rsidRPr="00B362ED">
        <w:rPr>
          <w:noProof/>
        </w:rPr>
      </w:r>
      <w:r w:rsidRPr="00B362ED">
        <w:pict w14:anchorId="24FECA5C">
          <v:rect id="AutoShape 5" o:spid="_x0000_s1027" alt="Fidelity International" href="https://www.fidelity.cz/" style="width:23.75pt;height:23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<v:fill o:detectmouseclick="t"/>
            <o:lock v:ext="edit" aspectratio="t"/>
            <w10:anchorlock/>
          </v:rect>
        </w:pict>
      </w:r>
      <w:r w:rsidR="00DE3946" w:rsidRPr="00B362ED">
        <w:tab/>
        <w:t xml:space="preserve">Praha, </w:t>
      </w:r>
      <w:r w:rsidR="00A26BB0">
        <w:t>17</w:t>
      </w:r>
      <w:r w:rsidR="00A30105">
        <w:t>. března 20</w:t>
      </w:r>
      <w:r w:rsidR="00A26BB0">
        <w:t>20</w:t>
      </w:r>
    </w:p>
    <w:p w14:paraId="5D81C7A2" w14:textId="77777777" w:rsidR="00A26BB0" w:rsidRDefault="00A26BB0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A26BB0">
        <w:rPr>
          <w:rFonts w:ascii="Arial" w:hAnsi="Arial" w:cs="Arial"/>
          <w:b/>
          <w:sz w:val="28"/>
          <w:szCs w:val="28"/>
          <w:lang w:val="cs-CZ" w:eastAsia="cs-CZ"/>
        </w:rPr>
        <w:t xml:space="preserve">Bleskový průzkum </w:t>
      </w:r>
      <w:proofErr w:type="spellStart"/>
      <w:r w:rsidRPr="00A26BB0">
        <w:rPr>
          <w:rFonts w:ascii="Arial" w:hAnsi="Arial" w:cs="Arial"/>
          <w:b/>
          <w:sz w:val="28"/>
          <w:szCs w:val="28"/>
          <w:lang w:val="cs-CZ" w:eastAsia="cs-CZ"/>
        </w:rPr>
        <w:t>Fidelity</w:t>
      </w:r>
      <w:proofErr w:type="spellEnd"/>
      <w:r w:rsidRPr="00A26BB0">
        <w:rPr>
          <w:rFonts w:ascii="Arial" w:hAnsi="Arial" w:cs="Arial"/>
          <w:b/>
          <w:sz w:val="28"/>
          <w:szCs w:val="28"/>
          <w:lang w:val="cs-CZ" w:eastAsia="cs-CZ"/>
        </w:rPr>
        <w:t>: Čína bude lídrem oživení po COVID-19</w:t>
      </w:r>
    </w:p>
    <w:p w14:paraId="44DAB3C0" w14:textId="3D1D7C55" w:rsidR="00A26BB0" w:rsidRDefault="00A26BB0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A26BB0">
        <w:rPr>
          <w:b/>
          <w:lang w:val="x-none" w:eastAsia="x-none"/>
        </w:rPr>
        <w:t xml:space="preserve">Podle bleskového průzkumu 152 akciových analytiků a analytiků nástrojů s pevným výnosem </w:t>
      </w:r>
      <w:proofErr w:type="spellStart"/>
      <w:r w:rsidRPr="00A26BB0">
        <w:rPr>
          <w:b/>
          <w:lang w:val="x-none" w:eastAsia="x-none"/>
        </w:rPr>
        <w:t>Fidelity</w:t>
      </w:r>
      <w:proofErr w:type="spellEnd"/>
      <w:r w:rsidRPr="00A26BB0">
        <w:rPr>
          <w:b/>
          <w:lang w:val="x-none" w:eastAsia="x-none"/>
        </w:rPr>
        <w:t xml:space="preserve"> International se zdá, že společnosti v Číně se nejrychleji dostanou z globální pandemie </w:t>
      </w:r>
      <w:r w:rsidR="00A433A9">
        <w:rPr>
          <w:b/>
          <w:lang w:eastAsia="x-none"/>
        </w:rPr>
        <w:t>k</w:t>
      </w:r>
      <w:proofErr w:type="spellStart"/>
      <w:r w:rsidRPr="00A26BB0">
        <w:rPr>
          <w:b/>
          <w:lang w:val="x-none" w:eastAsia="x-none"/>
        </w:rPr>
        <w:t>oronaviru</w:t>
      </w:r>
      <w:proofErr w:type="spellEnd"/>
      <w:r w:rsidRPr="00A26BB0">
        <w:rPr>
          <w:b/>
          <w:lang w:val="x-none" w:eastAsia="x-none"/>
        </w:rPr>
        <w:t xml:space="preserve"> a budou jím nejméně poškozeny.</w:t>
      </w:r>
    </w:p>
    <w:p w14:paraId="75586BC4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661DB1DB" w14:textId="6B7F905F" w:rsidR="00A26BB0" w:rsidRP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  <w:r w:rsidRPr="00A26BB0">
        <w:rPr>
          <w:color w:val="323130"/>
          <w:bdr w:val="none" w:sz="0" w:space="0" w:color="auto" w:frame="1"/>
        </w:rPr>
        <w:t>Mezi analytiky, kteří očekávají, že virus sníží příjmy sledovaných čínských společností</w:t>
      </w:r>
      <w:r w:rsidR="00A433A9">
        <w:rPr>
          <w:color w:val="323130"/>
          <w:bdr w:val="none" w:sz="0" w:space="0" w:color="auto" w:frame="1"/>
        </w:rPr>
        <w:t>,</w:t>
      </w:r>
      <w:r w:rsidRPr="00A26BB0">
        <w:rPr>
          <w:color w:val="323130"/>
          <w:bdr w:val="none" w:sz="0" w:space="0" w:color="auto" w:frame="1"/>
        </w:rPr>
        <w:t xml:space="preserve"> je až 85 procent těch, podle nichž bude tento zásah potlačen do první poloviny roku, ve srovnání s pouhými 42 procenty analytiků pokrývající</w:t>
      </w:r>
      <w:r w:rsidR="00A433A9">
        <w:rPr>
          <w:color w:val="323130"/>
          <w:bdr w:val="none" w:sz="0" w:space="0" w:color="auto" w:frame="1"/>
        </w:rPr>
        <w:t>mi</w:t>
      </w:r>
      <w:r w:rsidRPr="00A26BB0">
        <w:rPr>
          <w:color w:val="323130"/>
          <w:bdr w:val="none" w:sz="0" w:space="0" w:color="auto" w:frame="1"/>
        </w:rPr>
        <w:t xml:space="preserve"> jiné regiony. Ti očekávají, že dopad se prodlouží do druhé poloviny roku. Navzdory tomu, že 87 procent čínských analytiků společnosti </w:t>
      </w:r>
      <w:proofErr w:type="spellStart"/>
      <w:r w:rsidRPr="00A26BB0">
        <w:rPr>
          <w:color w:val="323130"/>
          <w:bdr w:val="none" w:sz="0" w:space="0" w:color="auto" w:frame="1"/>
        </w:rPr>
        <w:t>Fidelity</w:t>
      </w:r>
      <w:proofErr w:type="spellEnd"/>
      <w:r w:rsidRPr="00A26BB0">
        <w:rPr>
          <w:color w:val="323130"/>
          <w:bdr w:val="none" w:sz="0" w:space="0" w:color="auto" w:frame="1"/>
        </w:rPr>
        <w:t xml:space="preserve"> International očekává, že virus poškodí ziskovost společností nejvíce ze všech regionů, tito analytici předpokládají, že velikost tohoto dopadu bude mírnější než v jiných regionech.</w:t>
      </w:r>
    </w:p>
    <w:p w14:paraId="1C3D1553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sz w:val="28"/>
          <w:szCs w:val="28"/>
          <w:bdr w:val="none" w:sz="0" w:space="0" w:color="auto" w:frame="1"/>
        </w:rPr>
      </w:pPr>
    </w:p>
    <w:p w14:paraId="6E67C0CE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rFonts w:ascii="Calibri" w:hAnsi="Calibri" w:cs="Times New Roman"/>
          <w:color w:val="323130"/>
          <w:sz w:val="22"/>
          <w:szCs w:val="22"/>
        </w:rPr>
      </w:pPr>
      <w:r w:rsidRPr="00A26BB0">
        <w:rPr>
          <w:rFonts w:ascii="Calibri" w:eastAsia="Calibri" w:hAnsi="Calibri" w:cs="Times New Roman"/>
          <w:noProof/>
          <w:sz w:val="22"/>
          <w:szCs w:val="22"/>
          <w:lang w:eastAsia="en-US"/>
        </w:rPr>
        <w:pict w14:anchorId="1C8731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84" type="#_x0000_t75" style="width:468pt;height:313.8pt;visibility:visible;mso-wrap-style:square">
            <v:imagedata r:id="rId8" o:title=""/>
          </v:shape>
        </w:pict>
      </w:r>
    </w:p>
    <w:p w14:paraId="1D5C8CC2" w14:textId="77777777" w:rsidR="00A26BB0" w:rsidRDefault="00A26BB0" w:rsidP="00A26BB0">
      <w:pPr>
        <w:pStyle w:val="Normlnweb"/>
        <w:shd w:val="clear" w:color="auto" w:fill="FFFFFF"/>
        <w:spacing w:line="330" w:lineRule="atLeast"/>
        <w:rPr>
          <w:color w:val="323130"/>
          <w:sz w:val="22"/>
          <w:szCs w:val="22"/>
          <w:bdr w:val="none" w:sz="0" w:space="0" w:color="auto" w:frame="1"/>
          <w:lang w:val="en-GB"/>
        </w:rPr>
      </w:pPr>
    </w:p>
    <w:p w14:paraId="0290B3F0" w14:textId="77777777" w:rsidR="00A26BB0" w:rsidRPr="00A26BB0" w:rsidRDefault="00A26BB0" w:rsidP="00A26BB0">
      <w:pPr>
        <w:pStyle w:val="Normlnweb"/>
        <w:shd w:val="clear" w:color="auto" w:fill="FFFFFF"/>
        <w:spacing w:line="330" w:lineRule="atLeast"/>
        <w:rPr>
          <w:i/>
          <w:iCs/>
          <w:color w:val="323130"/>
          <w:bdr w:val="none" w:sz="0" w:space="0" w:color="auto" w:frame="1"/>
        </w:rPr>
      </w:pPr>
      <w:r w:rsidRPr="00A26BB0">
        <w:rPr>
          <w:color w:val="323130"/>
          <w:bdr w:val="none" w:sz="0" w:space="0" w:color="auto" w:frame="1"/>
        </w:rPr>
        <w:lastRenderedPageBreak/>
        <w:t xml:space="preserve">Fiona </w:t>
      </w:r>
      <w:proofErr w:type="spellStart"/>
      <w:r w:rsidRPr="00A26BB0">
        <w:rPr>
          <w:color w:val="323130"/>
          <w:bdr w:val="none" w:sz="0" w:space="0" w:color="auto" w:frame="1"/>
        </w:rPr>
        <w:t>O'Neill</w:t>
      </w:r>
      <w:proofErr w:type="spellEnd"/>
      <w:r w:rsidRPr="00A26BB0">
        <w:rPr>
          <w:color w:val="323130"/>
          <w:bdr w:val="none" w:sz="0" w:space="0" w:color="auto" w:frame="1"/>
        </w:rPr>
        <w:t xml:space="preserve">, zástupkyně vedoucího výzkumu v oblasti akcií </w:t>
      </w:r>
      <w:proofErr w:type="spellStart"/>
      <w:r w:rsidRPr="00A26BB0">
        <w:rPr>
          <w:color w:val="323130"/>
          <w:bdr w:val="none" w:sz="0" w:space="0" w:color="auto" w:frame="1"/>
        </w:rPr>
        <w:t>Fidelity</w:t>
      </w:r>
      <w:proofErr w:type="spellEnd"/>
      <w:r w:rsidRPr="00A26BB0">
        <w:rPr>
          <w:color w:val="323130"/>
          <w:bdr w:val="none" w:sz="0" w:space="0" w:color="auto" w:frame="1"/>
        </w:rPr>
        <w:t xml:space="preserve"> International, vysvětluje: </w:t>
      </w:r>
      <w:r w:rsidRPr="00A26BB0">
        <w:rPr>
          <w:i/>
          <w:iCs/>
          <w:color w:val="323130"/>
          <w:bdr w:val="none" w:sz="0" w:space="0" w:color="auto" w:frame="1"/>
        </w:rPr>
        <w:t>„Protože Čína byla první zemí zasaženou virem, zdá se logické, že se zotaví nejrychleji. Čas potřebný k obnovení podnikatelské činnosti v zemích, kde nemoc teprve propuká, bude také do značné míry záviset na omezujících opatřeních jednotlivých vlád.“</w:t>
      </w:r>
    </w:p>
    <w:p w14:paraId="19AD7BEE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</w:p>
    <w:p w14:paraId="652E4D05" w14:textId="6F860A73" w:rsidR="00A26BB0" w:rsidRP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  <w:r w:rsidRPr="00A26BB0">
        <w:rPr>
          <w:i/>
          <w:iCs/>
          <w:color w:val="323130"/>
          <w:bdr w:val="none" w:sz="0" w:space="0" w:color="auto" w:frame="1"/>
        </w:rPr>
        <w:t>„Zdá se, že rozhodnutí čínských úřadů uložit přísná cestovní omezení v postižených oblastech relativně brzy po propuknutí nákazy zajistilo, že země sice bude čelit šokům v systému, ale zotaví se relativně rychle a celkově s menším dopadem na příjmy, pokud tedy nezaznamenáme druhou vlnu viru.</w:t>
      </w:r>
      <w:r w:rsidRPr="00A26BB0">
        <w:rPr>
          <w:i/>
          <w:iCs/>
          <w:sz w:val="18"/>
          <w:szCs w:val="18"/>
        </w:rPr>
        <w:t xml:space="preserve"> </w:t>
      </w:r>
      <w:r w:rsidRPr="00A26BB0">
        <w:rPr>
          <w:i/>
          <w:iCs/>
          <w:color w:val="323130"/>
          <w:bdr w:val="none" w:sz="0" w:space="0" w:color="auto" w:frame="1"/>
        </w:rPr>
        <w:t xml:space="preserve">Na Západě se úsilí soustředilo na zpomalení šíření, ale co nejdéle se vyhýbalo ekonomickým odstávkám. V této fázi je obtížné předvídat rozdíl mezi přístupy,“ </w:t>
      </w:r>
      <w:r w:rsidRPr="00A26BB0">
        <w:rPr>
          <w:color w:val="323130"/>
          <w:bdr w:val="none" w:sz="0" w:space="0" w:color="auto" w:frame="1"/>
        </w:rPr>
        <w:t xml:space="preserve">upřesňuje Fiona </w:t>
      </w:r>
      <w:proofErr w:type="spellStart"/>
      <w:r w:rsidRPr="00A26BB0">
        <w:rPr>
          <w:color w:val="323130"/>
          <w:bdr w:val="none" w:sz="0" w:space="0" w:color="auto" w:frame="1"/>
        </w:rPr>
        <w:t>O'Neill</w:t>
      </w:r>
      <w:proofErr w:type="spellEnd"/>
      <w:r w:rsidRPr="00A26BB0">
        <w:rPr>
          <w:color w:val="323130"/>
          <w:bdr w:val="none" w:sz="0" w:space="0" w:color="auto" w:frame="1"/>
        </w:rPr>
        <w:t>.</w:t>
      </w:r>
    </w:p>
    <w:p w14:paraId="3C4DB7C8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rFonts w:ascii="Calibri" w:hAnsi="Calibri"/>
          <w:color w:val="323130"/>
          <w:sz w:val="22"/>
          <w:szCs w:val="22"/>
        </w:rPr>
      </w:pPr>
      <w:r>
        <w:rPr>
          <w:b/>
          <w:bCs/>
          <w:color w:val="323130"/>
          <w:sz w:val="22"/>
          <w:szCs w:val="22"/>
          <w:bdr w:val="none" w:sz="0" w:space="0" w:color="auto" w:frame="1"/>
          <w:lang w:val="en-GB"/>
        </w:rPr>
        <w:t> </w:t>
      </w:r>
    </w:p>
    <w:p w14:paraId="0C9058AA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rFonts w:ascii="Calibri" w:hAnsi="Calibri"/>
          <w:color w:val="323130"/>
          <w:sz w:val="22"/>
          <w:szCs w:val="22"/>
        </w:rPr>
      </w:pPr>
      <w:r w:rsidRPr="00A26BB0">
        <w:rPr>
          <w:rFonts w:ascii="Calibri" w:eastAsia="Calibri" w:hAnsi="Calibri" w:cs="Times New Roman"/>
          <w:noProof/>
          <w:sz w:val="22"/>
          <w:szCs w:val="22"/>
          <w:lang w:eastAsia="en-US"/>
        </w:rPr>
        <w:pict w14:anchorId="0989D182">
          <v:shape id="Obrázek 2" o:spid="_x0000_i1085" type="#_x0000_t75" style="width:455.4pt;height:302.4pt;visibility:visible;mso-wrap-style:square">
            <v:imagedata r:id="rId9" o:title=""/>
          </v:shape>
        </w:pict>
      </w:r>
    </w:p>
    <w:p w14:paraId="18A61F8B" w14:textId="77777777" w:rsidR="00A26BB0" w:rsidRPr="00A26BB0" w:rsidRDefault="00A26BB0" w:rsidP="00A26BB0">
      <w:pPr>
        <w:pStyle w:val="Normlnweb"/>
        <w:shd w:val="clear" w:color="auto" w:fill="FFFFFF"/>
        <w:spacing w:line="330" w:lineRule="atLeast"/>
        <w:rPr>
          <w:b/>
          <w:bCs/>
          <w:color w:val="323130"/>
          <w:bdr w:val="none" w:sz="0" w:space="0" w:color="auto" w:frame="1"/>
        </w:rPr>
      </w:pPr>
      <w:r w:rsidRPr="00A26BB0">
        <w:rPr>
          <w:b/>
          <w:bCs/>
          <w:color w:val="323130"/>
          <w:bdr w:val="none" w:sz="0" w:space="0" w:color="auto" w:frame="1"/>
        </w:rPr>
        <w:t xml:space="preserve">Vypadá to, že technologický sektor zvládá virový šok </w:t>
      </w:r>
    </w:p>
    <w:p w14:paraId="3814CA4C" w14:textId="77777777" w:rsidR="00A26BB0" w:rsidRP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bdr w:val="none" w:sz="0" w:space="0" w:color="auto" w:frame="1"/>
        </w:rPr>
      </w:pPr>
      <w:r w:rsidRPr="00A26BB0">
        <w:rPr>
          <w:color w:val="323130"/>
          <w:bdr w:val="none" w:sz="0" w:space="0" w:color="auto" w:frame="1"/>
        </w:rPr>
        <w:t xml:space="preserve">Jednou z oblastí trhu, která vypadá, že zvládla virový šok lépe než ostatní, je technologický sektor. Analytici společnosti </w:t>
      </w:r>
      <w:proofErr w:type="spellStart"/>
      <w:r w:rsidRPr="00A26BB0">
        <w:rPr>
          <w:color w:val="323130"/>
          <w:bdr w:val="none" w:sz="0" w:space="0" w:color="auto" w:frame="1"/>
        </w:rPr>
        <w:t>Fidelity</w:t>
      </w:r>
      <w:proofErr w:type="spellEnd"/>
      <w:r w:rsidRPr="00A26BB0">
        <w:rPr>
          <w:color w:val="323130"/>
          <w:bdr w:val="none" w:sz="0" w:space="0" w:color="auto" w:frame="1"/>
        </w:rPr>
        <w:t xml:space="preserve"> také očekávají, že zde bude dopad na zisky v důsledku propuknutí viru měkčí než v jiných sektorech.</w:t>
      </w:r>
    </w:p>
    <w:p w14:paraId="10A1A54C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color w:val="323130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14:paraId="244F065D" w14:textId="77777777" w:rsidR="00A26BB0" w:rsidRDefault="00A26BB0" w:rsidP="00A26BB0">
      <w:pPr>
        <w:pStyle w:val="Normlnweb"/>
        <w:shd w:val="clear" w:color="auto" w:fill="FFFFFF"/>
        <w:spacing w:before="0" w:line="330" w:lineRule="atLeast"/>
        <w:rPr>
          <w:rFonts w:ascii="Calibri" w:hAnsi="Calibri" w:cs="Times New Roman"/>
          <w:color w:val="323130"/>
          <w:sz w:val="22"/>
          <w:szCs w:val="22"/>
        </w:rPr>
      </w:pPr>
      <w:r>
        <w:rPr>
          <w:color w:val="323130"/>
          <w:sz w:val="22"/>
          <w:szCs w:val="22"/>
          <w:bdr w:val="none" w:sz="0" w:space="0" w:color="auto" w:frame="1"/>
          <w:lang w:val="en-GB"/>
        </w:rPr>
        <w:t> </w:t>
      </w:r>
    </w:p>
    <w:p w14:paraId="3EF0A0AA" w14:textId="044BCBC7" w:rsidR="00A26BB0" w:rsidRPr="00A26BB0" w:rsidRDefault="00A26BB0" w:rsidP="00A26BB0">
      <w:pPr>
        <w:pStyle w:val="Normlnweb"/>
        <w:shd w:val="clear" w:color="auto" w:fill="FFFFFF"/>
        <w:spacing w:before="0" w:line="330" w:lineRule="atLeast"/>
        <w:rPr>
          <w:rFonts w:ascii="Calibri" w:hAnsi="Calibri"/>
          <w:color w:val="323130"/>
          <w:sz w:val="22"/>
          <w:szCs w:val="22"/>
        </w:rPr>
      </w:pPr>
      <w:r w:rsidRPr="00A26BB0">
        <w:rPr>
          <w:rFonts w:ascii="Calibri" w:eastAsia="Calibri" w:hAnsi="Calibri" w:cs="Times New Roman"/>
          <w:noProof/>
          <w:sz w:val="22"/>
          <w:szCs w:val="22"/>
          <w:lang w:eastAsia="en-US"/>
        </w:rPr>
        <w:lastRenderedPageBreak/>
        <w:pict w14:anchorId="07370DEB">
          <v:shape id="Obrázek 1" o:spid="_x0000_i1086" type="#_x0000_t75" style="width:460.8pt;height:307.8pt;visibility:visible;mso-wrap-style:square">
            <v:imagedata r:id="rId10" o:title=""/>
          </v:shape>
        </w:pict>
      </w:r>
    </w:p>
    <w:p w14:paraId="30505F5E" w14:textId="77777777" w:rsidR="00A26BB0" w:rsidRDefault="00A26BB0" w:rsidP="00A26BB0">
      <w:pPr>
        <w:rPr>
          <w:color w:val="323130"/>
          <w:bdr w:val="none" w:sz="0" w:space="0" w:color="auto" w:frame="1"/>
        </w:rPr>
      </w:pPr>
      <w:r>
        <w:rPr>
          <w:color w:val="323130"/>
          <w:bdr w:val="none" w:sz="0" w:space="0" w:color="auto" w:frame="1"/>
        </w:rPr>
        <w:t xml:space="preserve">Fiona </w:t>
      </w:r>
      <w:proofErr w:type="spellStart"/>
      <w:r>
        <w:rPr>
          <w:color w:val="323130"/>
          <w:bdr w:val="none" w:sz="0" w:space="0" w:color="auto" w:frame="1"/>
        </w:rPr>
        <w:t>O'Neill</w:t>
      </w:r>
      <w:proofErr w:type="spellEnd"/>
      <w:r>
        <w:rPr>
          <w:color w:val="323130"/>
          <w:bdr w:val="none" w:sz="0" w:space="0" w:color="auto" w:frame="1"/>
        </w:rPr>
        <w:t xml:space="preserve"> dodává: „</w:t>
      </w:r>
      <w:r w:rsidRPr="00A26BB0">
        <w:rPr>
          <w:i/>
          <w:iCs/>
          <w:color w:val="323130"/>
          <w:bdr w:val="none" w:sz="0" w:space="0" w:color="auto" w:frame="1"/>
        </w:rPr>
        <w:t xml:space="preserve">Technologický sektor má víc příjmů, které zmírní obavy o likviditu. </w:t>
      </w:r>
      <w:proofErr w:type="spellStart"/>
      <w:r w:rsidRPr="00A26BB0">
        <w:rPr>
          <w:i/>
          <w:iCs/>
          <w:color w:val="323130"/>
          <w:bdr w:val="none" w:sz="0" w:space="0" w:color="auto" w:frame="1"/>
        </w:rPr>
        <w:t>Subsektory</w:t>
      </w:r>
      <w:proofErr w:type="spellEnd"/>
      <w:r w:rsidRPr="00A26BB0">
        <w:rPr>
          <w:i/>
          <w:iCs/>
          <w:color w:val="323130"/>
          <w:bdr w:val="none" w:sz="0" w:space="0" w:color="auto" w:frame="1"/>
        </w:rPr>
        <w:t>, jako jsou videohry a nástroje pro práci na dálku, zaznamenají rozvoj s tím, jak se jednotlivé státy snaží omezit cestování a shlukování lidí. Technologické společnosti patří také k těm nejpřipravenějším na to, kdyby se situace zhoršila. Už zde totiž existuje fenomén práce na dálku a ze všech odvětví k ní mají nejblíže právě technologické společnosti.“</w:t>
      </w:r>
    </w:p>
    <w:p w14:paraId="4DCA865C" w14:textId="77777777" w:rsidR="00073A88" w:rsidRDefault="00073A88" w:rsidP="00AC35C4">
      <w:pPr>
        <w:pStyle w:val="F2-zkladn"/>
        <w:tabs>
          <w:tab w:val="right" w:pos="9070"/>
        </w:tabs>
        <w:rPr>
          <w:b/>
        </w:rPr>
      </w:pPr>
    </w:p>
    <w:p w14:paraId="6D914DE3" w14:textId="77777777"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14:paraId="7A65EED4" w14:textId="77777777" w:rsidR="001A0CB6" w:rsidRPr="009C3DB4" w:rsidRDefault="001A0CB6" w:rsidP="00AC35C4">
      <w:pPr>
        <w:spacing w:before="0" w:line="360" w:lineRule="auto"/>
        <w:rPr>
          <w:b/>
        </w:rPr>
      </w:pPr>
    </w:p>
    <w:p w14:paraId="3388347A" w14:textId="77777777"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14:paraId="0B51F0BC" w14:textId="77777777"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14:paraId="618D098D" w14:textId="77777777" w:rsidR="001A0CB6" w:rsidRPr="009C3DB4" w:rsidRDefault="001A0CB6" w:rsidP="00AC35C4">
      <w:pPr>
        <w:spacing w:before="0" w:line="240" w:lineRule="atLeast"/>
      </w:pPr>
    </w:p>
    <w:p w14:paraId="7AB45B55" w14:textId="77777777"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14:paraId="7420C868" w14:textId="77777777"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14:paraId="28B539CA" w14:textId="77777777"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4B76C589" w14:textId="77777777" w:rsidR="001A0CB6" w:rsidRPr="009C3DB4" w:rsidRDefault="001A0CB6" w:rsidP="00AC35C4">
      <w:pPr>
        <w:spacing w:before="0" w:line="240" w:lineRule="atLeast"/>
      </w:pPr>
      <w:hyperlink w:tooltip="blocked::http://www.crestcom.cz&#10;http://www.crestcom.cz/" w:history="1">
        <w:r w:rsidRPr="009C3DB4">
          <w:rPr>
            <w:rStyle w:val="Hypertextovodkaz"/>
            <w:color w:val="990033"/>
          </w:rPr>
          <w:t>www.crestcom.cz</w:t>
        </w:r>
      </w:hyperlink>
    </w:p>
    <w:p w14:paraId="2684F9BB" w14:textId="77777777"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1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14:paraId="566D300F" w14:textId="77777777"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14:paraId="35D980F9" w14:textId="77777777"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</w:t>
      </w:r>
      <w:r w:rsidRPr="008F1A81">
        <w:rPr>
          <w:sz w:val="18"/>
        </w:rPr>
        <w:lastRenderedPageBreak/>
        <w:t xml:space="preserve">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4359BE8" w14:textId="77777777"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14:paraId="47AB101D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Unicredit Bank Czech Republic, a. s., náměstí Republiky 3a, 111 21 Praha 1, nebo na adresách www.fidelity.at, www.fidelity.cz, www.fidelity.sk.</w:t>
      </w:r>
    </w:p>
    <w:p w14:paraId="0895F3B1" w14:textId="77777777"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14:paraId="7BB287E4" w14:textId="77777777"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0B1437AF" w14:textId="77777777"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21A8DFCF" w14:textId="77777777"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669EDA9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735D81B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67B0758C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779A71DE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7B0F5512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UniCredit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a.s.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163F8475" w14:textId="77777777"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1DC94C28" w14:textId="77777777"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Gestion,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2"/>
      <w:footerReference w:type="default" r:id="rId13"/>
      <w:headerReference w:type="first" r:id="rId14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757B4" w14:textId="77777777" w:rsidR="00A37C9A" w:rsidRDefault="00A37C9A">
      <w:r>
        <w:separator/>
      </w:r>
    </w:p>
  </w:endnote>
  <w:endnote w:type="continuationSeparator" w:id="0">
    <w:p w14:paraId="571CBB27" w14:textId="77777777" w:rsidR="00A37C9A" w:rsidRDefault="00A3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6D45" w14:textId="77777777"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BF48" w14:textId="77777777" w:rsidR="00A37C9A" w:rsidRDefault="00A37C9A">
      <w:r>
        <w:separator/>
      </w:r>
    </w:p>
  </w:footnote>
  <w:footnote w:type="continuationSeparator" w:id="0">
    <w:p w14:paraId="2CAB8A1D" w14:textId="77777777" w:rsidR="00A37C9A" w:rsidRDefault="00A37C9A">
      <w:r>
        <w:continuationSeparator/>
      </w:r>
    </w:p>
  </w:footnote>
  <w:footnote w:type="continuationNotice" w:id="1">
    <w:p w14:paraId="29079331" w14:textId="77777777" w:rsidR="00A37C9A" w:rsidRDefault="00A37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05C17" w14:textId="77777777"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BC0F" w14:textId="77777777" w:rsidR="001D1343" w:rsidRDefault="001D1343">
    <w:pPr>
      <w:pStyle w:val="Zhlav"/>
    </w:pPr>
    <w:r>
      <w:rPr>
        <w:noProof/>
      </w:rPr>
      <w:pict w14:anchorId="310618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29.25pt;margin-top:20.1pt;width:124.5pt;height:38.25pt;z-index:1">
          <v:imagedata r:id="rId1" o:title=""/>
          <w10:wrap type="square"/>
        </v:shape>
      </w:pict>
    </w:r>
  </w:p>
  <w:p w14:paraId="4A8C7805" w14:textId="77777777" w:rsidR="001D1343" w:rsidRDefault="001D1343">
    <w:pPr>
      <w:pStyle w:val="Zhlav"/>
    </w:pPr>
  </w:p>
  <w:p w14:paraId="09E5393A" w14:textId="77777777"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pStyle w:val="F-nadpis4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6BB0"/>
    <w:rsid w:val="00A2793B"/>
    <w:rsid w:val="00A30105"/>
    <w:rsid w:val="00A31ADE"/>
    <w:rsid w:val="00A35D3C"/>
    <w:rsid w:val="00A37C9A"/>
    <w:rsid w:val="00A41C95"/>
    <w:rsid w:val="00A433A9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4F8AB316"/>
  <w15:chartTrackingRefBased/>
  <w15:docId w15:val="{1101D5FF-D256-443B-A466-DC1B010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Podtitul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9F56-5DAC-4EA3-A8DF-2C060526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7138</Characters>
  <Application>Microsoft Office Word</Application>
  <DocSecurity>0</DocSecurity>
  <Lines>125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8520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2015-11-30T17:29:00Z</cp:lastPrinted>
  <dcterms:created xsi:type="dcterms:W3CDTF">2020-03-17T12:09:00Z</dcterms:created>
  <dcterms:modified xsi:type="dcterms:W3CDTF">2020-03-17T12:14:00Z</dcterms:modified>
</cp:coreProperties>
</file>